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D3B" w:rsidRDefault="00B72D3B" w:rsidP="00B72D3B">
      <w:pPr>
        <w:pStyle w:val="Pa9"/>
        <w:ind w:firstLine="280"/>
        <w:jc w:val="both"/>
        <w:rPr>
          <w:rFonts w:cs="TimokU"/>
          <w:color w:val="000000"/>
          <w:sz w:val="22"/>
          <w:szCs w:val="22"/>
        </w:rPr>
      </w:pPr>
      <w:r>
        <w:rPr>
          <w:rFonts w:cs="TimokU"/>
          <w:b/>
          <w:bCs/>
          <w:i/>
          <w:iCs/>
          <w:color w:val="000000"/>
          <w:sz w:val="22"/>
          <w:szCs w:val="22"/>
        </w:rPr>
        <w:t>Болни насила</w:t>
      </w:r>
    </w:p>
    <w:p w:rsidR="00B72D3B" w:rsidRDefault="00B72D3B" w:rsidP="00B72D3B">
      <w:pPr>
        <w:pStyle w:val="Pa8"/>
        <w:ind w:firstLine="280"/>
        <w:jc w:val="both"/>
        <w:rPr>
          <w:rFonts w:cs="TimokU"/>
          <w:color w:val="000000"/>
          <w:sz w:val="11"/>
          <w:szCs w:val="11"/>
        </w:rPr>
      </w:pPr>
      <w:r>
        <w:rPr>
          <w:rStyle w:val="A4"/>
          <w:i/>
          <w:iCs/>
        </w:rPr>
        <w:t>„Преди време фармацевтичните компании са създавали ле</w:t>
      </w:r>
      <w:r>
        <w:rPr>
          <w:rStyle w:val="A4"/>
          <w:i/>
          <w:iCs/>
        </w:rPr>
        <w:softHyphen/>
        <w:t xml:space="preserve">карства за лечение на заболявания </w:t>
      </w:r>
      <w:r>
        <w:rPr>
          <w:rStyle w:val="A4"/>
        </w:rPr>
        <w:t xml:space="preserve">– споделя Марсия Ейнджъл. </w:t>
      </w:r>
      <w:r>
        <w:rPr>
          <w:rStyle w:val="A4"/>
          <w:i/>
          <w:iCs/>
        </w:rPr>
        <w:t>– Сега често се случва обратното: създават болести, които да се адаптират към техните лекарства.“</w:t>
      </w:r>
      <w:r>
        <w:rPr>
          <w:rStyle w:val="A7"/>
        </w:rPr>
        <w:t xml:space="preserve">95 </w:t>
      </w:r>
      <w:r>
        <w:rPr>
          <w:rStyle w:val="A4"/>
        </w:rPr>
        <w:t>През последните 20 години сме свидетели на появата на нови патологии, създаде</w:t>
      </w:r>
      <w:r>
        <w:rPr>
          <w:rStyle w:val="A4"/>
        </w:rPr>
        <w:softHyphen/>
        <w:t>ни нарочно от медици и услужливи институции само и само за да увеличат печалбите на фармацевтичния сектор. Много ясно обвинение отправя Папската академия за живота, коя</w:t>
      </w:r>
      <w:r>
        <w:rPr>
          <w:rStyle w:val="A4"/>
        </w:rPr>
        <w:softHyphen/>
        <w:t>то показва как компаниите се опитват да максимизират търговския потенциал на едно лекарство чрез подправяне на сериозността на симптомите и замяната на риска от забо</w:t>
      </w:r>
      <w:r>
        <w:rPr>
          <w:rStyle w:val="A4"/>
        </w:rPr>
        <w:softHyphen/>
        <w:t>ляване със самата болест. „</w:t>
      </w:r>
      <w:r>
        <w:rPr>
          <w:rStyle w:val="A4"/>
          <w:i/>
          <w:iCs/>
        </w:rPr>
        <w:t>За завладяването на пазара на но</w:t>
      </w:r>
      <w:r>
        <w:rPr>
          <w:rStyle w:val="A4"/>
          <w:i/>
          <w:iCs/>
        </w:rPr>
        <w:softHyphen/>
        <w:t>вите фармацевтични продук</w:t>
      </w:r>
      <w:r w:rsidR="00596AA5">
        <w:rPr>
          <w:rStyle w:val="A4"/>
          <w:i/>
          <w:iCs/>
        </w:rPr>
        <w:t>ти са се появили неформални съю</w:t>
      </w:r>
      <w:bookmarkStart w:id="0" w:name="_GoBack"/>
      <w:bookmarkEnd w:id="0"/>
      <w:r>
        <w:rPr>
          <w:rStyle w:val="A4"/>
          <w:i/>
          <w:iCs/>
        </w:rPr>
        <w:t>зи, които са разширили границите на лечимите заболявания. Обективът на основната стратегия са доставените новини от медиите, които се хранят със специално създадени истории за всяване на страх от някаква болест и следователно да се привлече вниманието върху последното открито лекарство.”</w:t>
      </w:r>
      <w:r>
        <w:rPr>
          <w:rStyle w:val="A7"/>
        </w:rPr>
        <w:t xml:space="preserve">96 </w:t>
      </w:r>
      <w:r>
        <w:rPr>
          <w:rStyle w:val="A4"/>
        </w:rPr>
        <w:t>Потвърждава го австралийският научен журналист Рей Мой</w:t>
      </w:r>
      <w:r>
        <w:rPr>
          <w:rStyle w:val="A4"/>
        </w:rPr>
        <w:softHyphen/>
        <w:t>нихан: „</w:t>
      </w:r>
      <w:r>
        <w:rPr>
          <w:rStyle w:val="A4"/>
          <w:i/>
          <w:iCs/>
        </w:rPr>
        <w:t>Много икономически ползи могат да произтекат от здрави хора, които мислят, че са болни. Фармацевтичните индустрии спонсорират заболявания и насърчават както тези, които предписват лекарства, така и техните потребители.”</w:t>
      </w:r>
      <w:r>
        <w:rPr>
          <w:rStyle w:val="A7"/>
        </w:rPr>
        <w:t xml:space="preserve">97 </w:t>
      </w:r>
    </w:p>
    <w:p w:rsidR="00B72D3B" w:rsidRDefault="00B72D3B" w:rsidP="00B72D3B">
      <w:pPr>
        <w:pStyle w:val="Pa8"/>
        <w:ind w:firstLine="280"/>
        <w:jc w:val="both"/>
        <w:rPr>
          <w:rFonts w:cs="TimokU"/>
          <w:color w:val="000000"/>
          <w:sz w:val="20"/>
          <w:szCs w:val="20"/>
        </w:rPr>
      </w:pPr>
      <w:r>
        <w:rPr>
          <w:rStyle w:val="A4"/>
        </w:rPr>
        <w:t>Пример: пазарът на лекарствата за хипертония е достиг</w:t>
      </w:r>
      <w:r>
        <w:rPr>
          <w:rStyle w:val="A4"/>
        </w:rPr>
        <w:softHyphen/>
        <w:t>нал бързо разрастване от момента, в който група експерти (официално безпристрастни) са променили параметрите, кои</w:t>
      </w:r>
      <w:r>
        <w:rPr>
          <w:rStyle w:val="A4"/>
        </w:rPr>
        <w:softHyphen/>
        <w:t>то определят кога кръвното налягане се счита за опасно ви</w:t>
      </w:r>
      <w:r>
        <w:rPr>
          <w:rStyle w:val="A4"/>
        </w:rPr>
        <w:softHyphen/>
        <w:t xml:space="preserve">соко. Първоначално прагът е за стойности над 140/90 mmHg, но през 2003 г. се въвежда нова категория на </w:t>
      </w:r>
      <w:r>
        <w:rPr>
          <w:rStyle w:val="A4"/>
          <w:i/>
          <w:iCs/>
        </w:rPr>
        <w:t>прехипертония</w:t>
      </w:r>
      <w:r>
        <w:rPr>
          <w:rStyle w:val="A4"/>
        </w:rPr>
        <w:t xml:space="preserve">, която варира от 120/80 mmHg до 139/90 mmHg – преди това нормални стойности. </w:t>
      </w:r>
      <w:r>
        <w:rPr>
          <w:rStyle w:val="A4"/>
          <w:i/>
          <w:iCs/>
        </w:rPr>
        <w:t xml:space="preserve">Прехипертониците </w:t>
      </w:r>
      <w:r>
        <w:rPr>
          <w:rStyle w:val="A4"/>
        </w:rPr>
        <w:t>(а именно 45 млн. американци) не е нужно да вземат лекарства, но са смятани за изложени на риск и трябва да си наложат по-здравословен начин на живот; в момента, в който лекарят определи тези</w:t>
      </w:r>
      <w:r>
        <w:rPr>
          <w:rStyle w:val="A4"/>
          <w:lang w:val="en-US"/>
        </w:rPr>
        <w:t xml:space="preserve"> </w:t>
      </w:r>
      <w:r>
        <w:rPr>
          <w:rStyle w:val="A4"/>
        </w:rPr>
        <w:t>показатели, е нормално да предизвика тревога у пациента и така да го предразположи да си купи лекарства</w:t>
      </w:r>
      <w:r>
        <w:rPr>
          <w:rStyle w:val="A7"/>
        </w:rPr>
        <w:t>98</w:t>
      </w:r>
      <w:r>
        <w:rPr>
          <w:rStyle w:val="A4"/>
        </w:rPr>
        <w:t>.</w:t>
      </w:r>
    </w:p>
    <w:p w:rsidR="00B72D3B" w:rsidRDefault="00B72D3B" w:rsidP="00B72D3B">
      <w:pPr>
        <w:pStyle w:val="Pa8"/>
        <w:ind w:firstLine="280"/>
        <w:jc w:val="both"/>
        <w:rPr>
          <w:rFonts w:cs="TimokU"/>
          <w:color w:val="000000"/>
          <w:sz w:val="20"/>
          <w:szCs w:val="20"/>
        </w:rPr>
      </w:pPr>
      <w:r>
        <w:rPr>
          <w:rStyle w:val="A4"/>
        </w:rPr>
        <w:t>Този трик е още по-разпространен в случаите на наличие на повишен холестерол: гранично ниво от 280 mg/dl, считано преди за нерисково, е намалено на 240 mg/dl, а сега е с тенден</w:t>
      </w:r>
      <w:r>
        <w:rPr>
          <w:rStyle w:val="A4"/>
        </w:rPr>
        <w:softHyphen/>
        <w:t xml:space="preserve">ция за намаляване до 200 mg/dl. Кой се е възползвал от тези промени? Лесно е да се разбере: новите параметри са довели до незабавно разширяване на пазара на </w:t>
      </w:r>
      <w:r>
        <w:rPr>
          <w:rStyle w:val="A4"/>
          <w:i/>
          <w:iCs/>
        </w:rPr>
        <w:t>Биг Фарма</w:t>
      </w:r>
      <w:r>
        <w:rPr>
          <w:rStyle w:val="A4"/>
        </w:rPr>
        <w:t>. Взети за</w:t>
      </w:r>
      <w:r>
        <w:rPr>
          <w:rStyle w:val="A4"/>
        </w:rPr>
        <w:softHyphen/>
        <w:t>едно, днес лекарствата, насочени към намаляване на стой</w:t>
      </w:r>
      <w:r>
        <w:rPr>
          <w:rStyle w:val="A4"/>
        </w:rPr>
        <w:softHyphen/>
        <w:t>ностите на холестерола, генерират приходи от над 25 млрд. долара годишно за продукти, които включват най-големите имена в световната индустрия: Bayer, AstraZeneca и Pfizer</w:t>
      </w:r>
      <w:r>
        <w:rPr>
          <w:rStyle w:val="A7"/>
        </w:rPr>
        <w:t>99</w:t>
      </w:r>
      <w:r>
        <w:rPr>
          <w:rStyle w:val="A4"/>
        </w:rPr>
        <w:t>. В не толкова богатите страни, включително страните от Източна Европа, нарастващите цени на тези лекарства под</w:t>
      </w:r>
      <w:r>
        <w:rPr>
          <w:rStyle w:val="A4"/>
        </w:rPr>
        <w:softHyphen/>
        <w:t>лагат здравната система на риск от фалит</w:t>
      </w:r>
      <w:r>
        <w:rPr>
          <w:rStyle w:val="A7"/>
        </w:rPr>
        <w:t>100</w:t>
      </w:r>
      <w:r>
        <w:rPr>
          <w:rStyle w:val="A4"/>
        </w:rPr>
        <w:t>.</w:t>
      </w:r>
    </w:p>
    <w:p w:rsidR="00394A19" w:rsidRPr="00B72D3B" w:rsidRDefault="00B72D3B" w:rsidP="00B72D3B">
      <w:pPr>
        <w:rPr>
          <w:lang w:val="en-US"/>
        </w:rPr>
      </w:pPr>
      <w:r>
        <w:rPr>
          <w:rStyle w:val="A4"/>
        </w:rPr>
        <w:t>Не много по-различно е положението в Съединените щати: според новите официални данни за холестерола на Национал</w:t>
      </w:r>
      <w:r>
        <w:rPr>
          <w:rStyle w:val="A4"/>
        </w:rPr>
        <w:softHyphen/>
        <w:t>ния здравен институт, издадени през 90-те години на миналия век, 13 млн. американци са имали нужда да се лекуват със статини. През 2001 г. друга комисия от експерти е префор</w:t>
      </w:r>
      <w:r>
        <w:rPr>
          <w:rStyle w:val="A4"/>
        </w:rPr>
        <w:softHyphen/>
        <w:t>мулирала тези цифри, увеличавайки ги до 36 млн. Всеки 5 от 14-те автори на новата разширена дефиниция, включително и председателят на комисията, са имали тесни финансови контакти с производителите на статини</w:t>
      </w:r>
      <w:r>
        <w:rPr>
          <w:rStyle w:val="A7"/>
        </w:rPr>
        <w:t>101</w:t>
      </w:r>
      <w:r>
        <w:rPr>
          <w:rStyle w:val="A4"/>
        </w:rPr>
        <w:t>.</w:t>
      </w:r>
    </w:p>
    <w:sectPr w:rsidR="00394A19" w:rsidRPr="00B72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okU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887"/>
    <w:rsid w:val="002F71CF"/>
    <w:rsid w:val="00394A19"/>
    <w:rsid w:val="00596AA5"/>
    <w:rsid w:val="00A32887"/>
    <w:rsid w:val="00B7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9">
    <w:name w:val="Pa9"/>
    <w:basedOn w:val="Normal"/>
    <w:next w:val="Normal"/>
    <w:uiPriority w:val="99"/>
    <w:rsid w:val="00A32887"/>
    <w:pPr>
      <w:autoSpaceDE w:val="0"/>
      <w:autoSpaceDN w:val="0"/>
      <w:adjustRightInd w:val="0"/>
      <w:spacing w:after="0" w:line="221" w:lineRule="atLeast"/>
    </w:pPr>
    <w:rPr>
      <w:rFonts w:ascii="TimokU" w:hAnsi="TimokU"/>
      <w:sz w:val="24"/>
      <w:szCs w:val="24"/>
    </w:rPr>
  </w:style>
  <w:style w:type="character" w:customStyle="1" w:styleId="A4">
    <w:name w:val="A4"/>
    <w:uiPriority w:val="99"/>
    <w:rsid w:val="00A32887"/>
    <w:rPr>
      <w:rFonts w:cs="TimokU"/>
      <w:color w:val="000000"/>
      <w:sz w:val="20"/>
      <w:szCs w:val="20"/>
    </w:rPr>
  </w:style>
  <w:style w:type="paragraph" w:customStyle="1" w:styleId="Pa8">
    <w:name w:val="Pa8"/>
    <w:basedOn w:val="Normal"/>
    <w:next w:val="Normal"/>
    <w:uiPriority w:val="99"/>
    <w:rsid w:val="00A32887"/>
    <w:pPr>
      <w:autoSpaceDE w:val="0"/>
      <w:autoSpaceDN w:val="0"/>
      <w:adjustRightInd w:val="0"/>
      <w:spacing w:after="0" w:line="241" w:lineRule="atLeast"/>
    </w:pPr>
    <w:rPr>
      <w:rFonts w:ascii="TimokU" w:hAnsi="TimokU"/>
      <w:sz w:val="24"/>
      <w:szCs w:val="24"/>
    </w:rPr>
  </w:style>
  <w:style w:type="character" w:customStyle="1" w:styleId="A7">
    <w:name w:val="A7"/>
    <w:uiPriority w:val="99"/>
    <w:rsid w:val="00A32887"/>
    <w:rPr>
      <w:rFonts w:cs="TimokU"/>
      <w:color w:val="000000"/>
      <w:sz w:val="11"/>
      <w:szCs w:val="11"/>
    </w:rPr>
  </w:style>
  <w:style w:type="paragraph" w:customStyle="1" w:styleId="Pa1">
    <w:name w:val="Pa1"/>
    <w:basedOn w:val="Normal"/>
    <w:next w:val="Normal"/>
    <w:uiPriority w:val="99"/>
    <w:rsid w:val="002F71CF"/>
    <w:pPr>
      <w:autoSpaceDE w:val="0"/>
      <w:autoSpaceDN w:val="0"/>
      <w:adjustRightInd w:val="0"/>
      <w:spacing w:after="0" w:line="241" w:lineRule="atLeast"/>
    </w:pPr>
    <w:rPr>
      <w:rFonts w:ascii="TimokU" w:hAnsi="TimokU"/>
      <w:sz w:val="24"/>
      <w:szCs w:val="24"/>
    </w:rPr>
  </w:style>
  <w:style w:type="character" w:customStyle="1" w:styleId="A1">
    <w:name w:val="A1"/>
    <w:uiPriority w:val="99"/>
    <w:rsid w:val="002F71CF"/>
    <w:rPr>
      <w:rFonts w:cs="TimokU"/>
      <w:i/>
      <w:i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9">
    <w:name w:val="Pa9"/>
    <w:basedOn w:val="Normal"/>
    <w:next w:val="Normal"/>
    <w:uiPriority w:val="99"/>
    <w:rsid w:val="00A32887"/>
    <w:pPr>
      <w:autoSpaceDE w:val="0"/>
      <w:autoSpaceDN w:val="0"/>
      <w:adjustRightInd w:val="0"/>
      <w:spacing w:after="0" w:line="221" w:lineRule="atLeast"/>
    </w:pPr>
    <w:rPr>
      <w:rFonts w:ascii="TimokU" w:hAnsi="TimokU"/>
      <w:sz w:val="24"/>
      <w:szCs w:val="24"/>
    </w:rPr>
  </w:style>
  <w:style w:type="character" w:customStyle="1" w:styleId="A4">
    <w:name w:val="A4"/>
    <w:uiPriority w:val="99"/>
    <w:rsid w:val="00A32887"/>
    <w:rPr>
      <w:rFonts w:cs="TimokU"/>
      <w:color w:val="000000"/>
      <w:sz w:val="20"/>
      <w:szCs w:val="20"/>
    </w:rPr>
  </w:style>
  <w:style w:type="paragraph" w:customStyle="1" w:styleId="Pa8">
    <w:name w:val="Pa8"/>
    <w:basedOn w:val="Normal"/>
    <w:next w:val="Normal"/>
    <w:uiPriority w:val="99"/>
    <w:rsid w:val="00A32887"/>
    <w:pPr>
      <w:autoSpaceDE w:val="0"/>
      <w:autoSpaceDN w:val="0"/>
      <w:adjustRightInd w:val="0"/>
      <w:spacing w:after="0" w:line="241" w:lineRule="atLeast"/>
    </w:pPr>
    <w:rPr>
      <w:rFonts w:ascii="TimokU" w:hAnsi="TimokU"/>
      <w:sz w:val="24"/>
      <w:szCs w:val="24"/>
    </w:rPr>
  </w:style>
  <w:style w:type="character" w:customStyle="1" w:styleId="A7">
    <w:name w:val="A7"/>
    <w:uiPriority w:val="99"/>
    <w:rsid w:val="00A32887"/>
    <w:rPr>
      <w:rFonts w:cs="TimokU"/>
      <w:color w:val="000000"/>
      <w:sz w:val="11"/>
      <w:szCs w:val="11"/>
    </w:rPr>
  </w:style>
  <w:style w:type="paragraph" w:customStyle="1" w:styleId="Pa1">
    <w:name w:val="Pa1"/>
    <w:basedOn w:val="Normal"/>
    <w:next w:val="Normal"/>
    <w:uiPriority w:val="99"/>
    <w:rsid w:val="002F71CF"/>
    <w:pPr>
      <w:autoSpaceDE w:val="0"/>
      <w:autoSpaceDN w:val="0"/>
      <w:adjustRightInd w:val="0"/>
      <w:spacing w:after="0" w:line="241" w:lineRule="atLeast"/>
    </w:pPr>
    <w:rPr>
      <w:rFonts w:ascii="TimokU" w:hAnsi="TimokU"/>
      <w:sz w:val="24"/>
      <w:szCs w:val="24"/>
    </w:rPr>
  </w:style>
  <w:style w:type="character" w:customStyle="1" w:styleId="A1">
    <w:name w:val="A1"/>
    <w:uiPriority w:val="99"/>
    <w:rsid w:val="002F71CF"/>
    <w:rPr>
      <w:rFonts w:cs="TimokU"/>
      <w:i/>
      <w:i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Dylan</dc:creator>
  <cp:lastModifiedBy>Dylan</cp:lastModifiedBy>
  <cp:revision>3</cp:revision>
  <dcterms:created xsi:type="dcterms:W3CDTF">2013-11-04T16:50:00Z</dcterms:created>
  <dcterms:modified xsi:type="dcterms:W3CDTF">2013-11-04T21:38:00Z</dcterms:modified>
</cp:coreProperties>
</file>