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B" w:rsidRPr="005D07AB" w:rsidRDefault="005D07AB" w:rsidP="005D07AB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okU" w:hAnsi="TimokU" w:cs="TimokU"/>
          <w:color w:val="000000"/>
        </w:rPr>
      </w:pPr>
      <w:r w:rsidRPr="005D07AB">
        <w:rPr>
          <w:rFonts w:ascii="TimokU" w:hAnsi="TimokU" w:cs="TimokU"/>
          <w:b/>
          <w:bCs/>
          <w:i/>
          <w:iCs/>
          <w:color w:val="000000"/>
        </w:rPr>
        <w:t xml:space="preserve">Открита причина, открито лечение? </w:t>
      </w:r>
    </w:p>
    <w:p w:rsidR="005D07AB" w:rsidRPr="005D07AB" w:rsidRDefault="005D07AB" w:rsidP="005D07AB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5D07AB">
        <w:rPr>
          <w:rFonts w:ascii="TimokU" w:hAnsi="TimokU" w:cs="TimokU"/>
          <w:color w:val="000000"/>
          <w:sz w:val="20"/>
          <w:szCs w:val="20"/>
        </w:rPr>
        <w:t>През 1983 г. Дженаро Санджермано е диагностициран с рак на белия дроб в напреднал стадий, който би му оставил 6 или 7 месеца живот. Вече близо 30 години пациентът е напълно здрав и без никакъв рецидив (повторно заболяване). Сицили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анският лекар Кармело Ломбардо развива рак на дебелото черво през 2008 г., а по-късно и метастази на черния и белия дроб</w:t>
      </w:r>
      <w:r w:rsidRPr="005D07AB">
        <w:rPr>
          <w:rFonts w:ascii="TimokU" w:hAnsi="TimokU" w:cs="TimokU"/>
          <w:color w:val="000000"/>
          <w:sz w:val="11"/>
          <w:szCs w:val="11"/>
        </w:rPr>
        <w:t>85</w:t>
      </w:r>
      <w:r w:rsidRPr="005D07AB">
        <w:rPr>
          <w:rFonts w:ascii="TimokU" w:hAnsi="TimokU" w:cs="TimokU"/>
          <w:color w:val="000000"/>
          <w:sz w:val="20"/>
          <w:szCs w:val="20"/>
        </w:rPr>
        <w:t>. Само след няколко месеца метастазите и туморът изчезват</w:t>
      </w:r>
      <w:r w:rsidRPr="005D07AB">
        <w:rPr>
          <w:rFonts w:ascii="TimokU" w:hAnsi="TimokU" w:cs="TimokU"/>
          <w:color w:val="000000"/>
          <w:sz w:val="11"/>
          <w:szCs w:val="11"/>
        </w:rPr>
        <w:t>86</w:t>
      </w:r>
      <w:r w:rsidRPr="005D07AB">
        <w:rPr>
          <w:rFonts w:ascii="TimokU" w:hAnsi="TimokU" w:cs="TimokU"/>
          <w:color w:val="000000"/>
          <w:sz w:val="20"/>
          <w:szCs w:val="20"/>
        </w:rPr>
        <w:t>.</w:t>
      </w:r>
    </w:p>
    <w:p w:rsidR="005D07AB" w:rsidRPr="005D07AB" w:rsidRDefault="005D07AB" w:rsidP="005D07AB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5D07AB">
        <w:rPr>
          <w:rFonts w:ascii="TimokU" w:hAnsi="TimokU" w:cs="TimokU"/>
          <w:color w:val="000000"/>
          <w:sz w:val="20"/>
          <w:szCs w:val="20"/>
        </w:rPr>
        <w:t>Това са само 2 случая с пациенти, излекувани благодарение на метода на д-р Симончини</w:t>
      </w:r>
      <w:r w:rsidRPr="005D07AB">
        <w:rPr>
          <w:rFonts w:ascii="TimokU" w:hAnsi="TimokU" w:cs="TimokU"/>
          <w:color w:val="000000"/>
          <w:sz w:val="11"/>
          <w:szCs w:val="11"/>
        </w:rPr>
        <w:t>87</w:t>
      </w:r>
      <w:r w:rsidRPr="005D07AB">
        <w:rPr>
          <w:rFonts w:ascii="TimokU" w:hAnsi="TimokU" w:cs="TimokU"/>
          <w:color w:val="000000"/>
          <w:sz w:val="20"/>
          <w:szCs w:val="20"/>
        </w:rPr>
        <w:t>. Изхождайки от хипотезата, че ракът е обикновена гъбичка, решил да лекува инфекцията с продукти, традиционно използвани срещу Candida: натриев бикарбонат и йодна тинктура. Бикарбонатът се използва в терапията на вътрешните органи в 5% разтвор, докато йод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ната тинктура се прилага за лечение на меланоми в 7% кон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центрация. Първият случай – този от Санджермано, датира от 1983 г. Оттогава Симончини започва експериментиране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то на своя метод и установява, че функционира от момен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та на регресия на туморната маса до пълното ù изчезване след няколко месеца. Разбира се, успешният резултат зависи от типа на рака, от неговата напредналост и най-вече от конкретната възможност да стимулира кръвообращението. Процентът на успеваемост при неизлечимо болните пациен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 xml:space="preserve">ти е от порядъка на 70-80%. </w:t>
      </w:r>
    </w:p>
    <w:p w:rsidR="005D07AB" w:rsidRPr="005D07AB" w:rsidRDefault="005D07AB" w:rsidP="005D07AB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5D07AB">
        <w:rPr>
          <w:rFonts w:ascii="TimokU" w:hAnsi="TimokU" w:cs="TimokU"/>
          <w:color w:val="000000"/>
          <w:sz w:val="20"/>
          <w:szCs w:val="20"/>
        </w:rPr>
        <w:t>Изключение правят левкемията, ракът на плоските кости и на белия дроб. Някои форми на левкемия не зависят от гъ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бични атаки, а са реакции на имунната система с други екзо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генни фактори. Дори когато причината е колония на Candida, местонахождението често e в сърдечносъдовата система и е много трудно да се достигне с натриев бикарбонат. Аналоги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 xml:space="preserve">чен е проблемът с костните тумори, например на прешлени и ребра, където артериалната перфузия не е достатъчна, за да гарантира необходимия пренос и прием на разтвора. </w:t>
      </w:r>
    </w:p>
    <w:p w:rsidR="005D07AB" w:rsidRPr="005D07AB" w:rsidRDefault="005D07AB" w:rsidP="005D07AB">
      <w:pPr>
        <w:pStyle w:val="Pa8"/>
        <w:ind w:firstLine="280"/>
        <w:jc w:val="both"/>
        <w:rPr>
          <w:rFonts w:cs="TimokU"/>
          <w:color w:val="000000"/>
          <w:sz w:val="11"/>
          <w:szCs w:val="11"/>
        </w:rPr>
      </w:pPr>
      <w:r w:rsidRPr="005D07AB">
        <w:rPr>
          <w:rFonts w:cs="TimokU"/>
          <w:i/>
          <w:iCs/>
          <w:color w:val="000000"/>
          <w:sz w:val="20"/>
          <w:szCs w:val="20"/>
        </w:rPr>
        <w:t xml:space="preserve">„Непрекъснатото търсене на все по-ефикасни техники </w:t>
      </w:r>
      <w:r w:rsidRPr="005D07AB">
        <w:rPr>
          <w:rFonts w:cs="TimokU"/>
          <w:color w:val="000000"/>
          <w:sz w:val="20"/>
          <w:szCs w:val="20"/>
        </w:rPr>
        <w:t>– за</w:t>
      </w:r>
      <w:r w:rsidRPr="005D07AB">
        <w:rPr>
          <w:rFonts w:cs="TimokU"/>
          <w:color w:val="000000"/>
          <w:sz w:val="20"/>
          <w:szCs w:val="20"/>
        </w:rPr>
        <w:softHyphen/>
        <w:t xml:space="preserve">явява Симончини – </w:t>
      </w:r>
      <w:r w:rsidRPr="005D07AB">
        <w:rPr>
          <w:rFonts w:cs="TimokU"/>
          <w:i/>
          <w:iCs/>
          <w:color w:val="000000"/>
          <w:sz w:val="20"/>
          <w:szCs w:val="20"/>
        </w:rPr>
        <w:t>ми позволи да стигна колкото е възмож</w:t>
      </w:r>
      <w:r w:rsidRPr="005D07AB">
        <w:rPr>
          <w:rFonts w:cs="TimokU"/>
          <w:i/>
          <w:iCs/>
          <w:color w:val="000000"/>
          <w:sz w:val="20"/>
          <w:szCs w:val="20"/>
        </w:rPr>
        <w:softHyphen/>
        <w:t>но по-близо до вътрешността на тъканите. Това ме доведе до селективната артериография (визуализация на специфична</w:t>
      </w:r>
      <w:r w:rsidRPr="005D07AB">
        <w:rPr>
          <w:rFonts w:cs="TimokU"/>
          <w:i/>
          <w:iCs/>
          <w:color w:val="000000"/>
          <w:sz w:val="20"/>
          <w:szCs w:val="20"/>
        </w:rPr>
        <w:t xml:space="preserve"> </w:t>
      </w:r>
      <w:r w:rsidRPr="005D07AB">
        <w:rPr>
          <w:rFonts w:cs="TimokU"/>
          <w:i/>
          <w:iCs/>
          <w:color w:val="000000"/>
          <w:sz w:val="20"/>
          <w:szCs w:val="20"/>
        </w:rPr>
        <w:t>артерия) и поставянето на port-a-cath (вид катетър, осигуря</w:t>
      </w:r>
      <w:r w:rsidRPr="005D07AB">
        <w:rPr>
          <w:rFonts w:cs="TimokU"/>
          <w:i/>
          <w:iCs/>
          <w:color w:val="000000"/>
          <w:sz w:val="20"/>
          <w:szCs w:val="20"/>
        </w:rPr>
        <w:softHyphen/>
        <w:t>ващ достъп до венозната система). Методологията позволява да се позиционира катетърът директно в артерията, която подхранва неопластичната маса, позволявайки приема на ви</w:t>
      </w:r>
      <w:r w:rsidRPr="005D07AB">
        <w:rPr>
          <w:rFonts w:cs="TimokU"/>
          <w:i/>
          <w:iCs/>
          <w:color w:val="000000"/>
          <w:sz w:val="20"/>
          <w:szCs w:val="20"/>
        </w:rPr>
        <w:softHyphen/>
        <w:t>соки дози от натриев бикарбонат в най-потайните места на организма.”</w:t>
      </w:r>
      <w:r w:rsidRPr="005D07AB">
        <w:rPr>
          <w:rFonts w:cs="TimokU"/>
          <w:i/>
          <w:iCs/>
          <w:color w:val="000000"/>
          <w:sz w:val="11"/>
          <w:szCs w:val="11"/>
        </w:rPr>
        <w:t>88</w:t>
      </w:r>
    </w:p>
    <w:p w:rsidR="005D07AB" w:rsidRPr="005D07AB" w:rsidRDefault="005D07AB" w:rsidP="005D07AB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5D07AB">
        <w:rPr>
          <w:rFonts w:ascii="TimokU" w:hAnsi="TimokU" w:cs="TimokU"/>
          <w:color w:val="000000"/>
          <w:sz w:val="20"/>
          <w:szCs w:val="20"/>
        </w:rPr>
        <w:t>Предимствата на лечението са многобройни: освен че е ефикасно, евтино и безболезнено, не оставя белези, крие мини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мални рискове от прилагането и може да се прави в домашни условия. Медиците от установената система, както винаги затворени към каквато и да била различна перспектива, въз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разяват с твърдението, че методът е опасен за здравето на пациентите – сякаш химиотерапията, лъчетерапията или хирургическото отстраняване, силно препоръчвани от тях, не са. Научната литература показва, че при хората, които не страдат от специфични заболявания, натриевият бикарбонат до 5% се понася добре. От повече от 30 години същите дози се прилагат в различни терапии: в случай на тежка диабетна кетоацидоза</w:t>
      </w:r>
      <w:r w:rsidRPr="005D07AB">
        <w:rPr>
          <w:rFonts w:ascii="TimokU" w:hAnsi="TimokU" w:cs="TimokU"/>
          <w:color w:val="000000"/>
          <w:sz w:val="11"/>
          <w:szCs w:val="11"/>
        </w:rPr>
        <w:t>89</w:t>
      </w:r>
      <w:r w:rsidRPr="005D07AB">
        <w:rPr>
          <w:rFonts w:ascii="TimokU" w:hAnsi="TimokU" w:cs="TimokU"/>
          <w:color w:val="000000"/>
          <w:sz w:val="20"/>
          <w:szCs w:val="20"/>
        </w:rPr>
        <w:t>, бременност</w:t>
      </w:r>
      <w:r w:rsidRPr="005D07AB">
        <w:rPr>
          <w:rFonts w:ascii="TimokU" w:hAnsi="TimokU" w:cs="TimokU"/>
          <w:color w:val="000000"/>
          <w:sz w:val="11"/>
          <w:szCs w:val="11"/>
        </w:rPr>
        <w:t>90</w:t>
      </w:r>
      <w:r w:rsidRPr="005D07AB">
        <w:rPr>
          <w:rFonts w:ascii="TimokU" w:hAnsi="TimokU" w:cs="TimokU"/>
          <w:color w:val="000000"/>
          <w:sz w:val="20"/>
          <w:szCs w:val="20"/>
        </w:rPr>
        <w:t>, хемодиализа</w:t>
      </w:r>
      <w:r w:rsidRPr="005D07AB">
        <w:rPr>
          <w:rFonts w:ascii="TimokU" w:hAnsi="TimokU" w:cs="TimokU"/>
          <w:color w:val="000000"/>
          <w:sz w:val="11"/>
          <w:szCs w:val="11"/>
        </w:rPr>
        <w:t>91</w:t>
      </w:r>
      <w:r w:rsidRPr="005D07AB">
        <w:rPr>
          <w:rFonts w:ascii="TimokU" w:hAnsi="TimokU" w:cs="TimokU"/>
          <w:color w:val="000000"/>
          <w:sz w:val="20"/>
          <w:szCs w:val="20"/>
        </w:rPr>
        <w:t>, перитонеална ди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ализа</w:t>
      </w:r>
      <w:r w:rsidRPr="005D07AB">
        <w:rPr>
          <w:rFonts w:ascii="TimokU" w:hAnsi="TimokU" w:cs="TimokU"/>
          <w:color w:val="000000"/>
          <w:sz w:val="11"/>
          <w:szCs w:val="11"/>
        </w:rPr>
        <w:t>92</w:t>
      </w:r>
      <w:r w:rsidRPr="005D07AB">
        <w:rPr>
          <w:rFonts w:ascii="TimokU" w:hAnsi="TimokU" w:cs="TimokU"/>
          <w:color w:val="000000"/>
          <w:sz w:val="20"/>
          <w:szCs w:val="20"/>
        </w:rPr>
        <w:t>, фармакологична токсикоза</w:t>
      </w:r>
      <w:r w:rsidRPr="005D07AB">
        <w:rPr>
          <w:rFonts w:ascii="TimokU" w:hAnsi="TimokU" w:cs="TimokU"/>
          <w:color w:val="000000"/>
          <w:sz w:val="11"/>
          <w:szCs w:val="11"/>
        </w:rPr>
        <w:t>93</w:t>
      </w:r>
      <w:r w:rsidRPr="005D07AB">
        <w:rPr>
          <w:rFonts w:ascii="TimokU" w:hAnsi="TimokU" w:cs="TimokU"/>
          <w:color w:val="000000"/>
          <w:sz w:val="20"/>
          <w:szCs w:val="20"/>
        </w:rPr>
        <w:t>, чернодробно заболяване</w:t>
      </w:r>
      <w:r w:rsidRPr="005D07AB">
        <w:rPr>
          <w:rFonts w:ascii="TimokU" w:hAnsi="TimokU" w:cs="TimokU"/>
          <w:color w:val="000000"/>
          <w:sz w:val="11"/>
          <w:szCs w:val="11"/>
        </w:rPr>
        <w:t>94</w:t>
      </w:r>
      <w:r w:rsidRPr="005D07AB">
        <w:rPr>
          <w:rFonts w:ascii="TimokU" w:hAnsi="TimokU" w:cs="TimokU"/>
          <w:color w:val="000000"/>
          <w:sz w:val="20"/>
          <w:szCs w:val="20"/>
        </w:rPr>
        <w:t>, съдова хирургия</w:t>
      </w:r>
      <w:r w:rsidRPr="005D07AB">
        <w:rPr>
          <w:rFonts w:ascii="TimokU" w:hAnsi="TimokU" w:cs="TimokU"/>
          <w:color w:val="000000"/>
          <w:sz w:val="11"/>
          <w:szCs w:val="11"/>
        </w:rPr>
        <w:t>95</w:t>
      </w:r>
      <w:r w:rsidRPr="005D07AB">
        <w:rPr>
          <w:rFonts w:ascii="TimokU" w:hAnsi="TimokU" w:cs="TimokU"/>
          <w:color w:val="000000"/>
          <w:sz w:val="20"/>
          <w:szCs w:val="20"/>
        </w:rPr>
        <w:t>.</w:t>
      </w:r>
    </w:p>
    <w:p w:rsidR="005D07AB" w:rsidRPr="005D07AB" w:rsidRDefault="005D07AB" w:rsidP="005D07AB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5D07AB">
        <w:rPr>
          <w:rFonts w:ascii="TimokU" w:hAnsi="TimokU" w:cs="TimokU"/>
          <w:color w:val="000000"/>
          <w:sz w:val="20"/>
          <w:szCs w:val="20"/>
        </w:rPr>
        <w:t>По-задълбоченият анализ подсилва позициите на Симончи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ни, защото много предходни научни изследвания са признали забележителните противоракови свойства на натриевия би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карбонат</w:t>
      </w:r>
      <w:r w:rsidRPr="005D07AB">
        <w:rPr>
          <w:rFonts w:ascii="TimokU" w:hAnsi="TimokU" w:cs="TimokU"/>
          <w:color w:val="000000"/>
          <w:sz w:val="11"/>
          <w:szCs w:val="11"/>
        </w:rPr>
        <w:t>96</w:t>
      </w:r>
      <w:r w:rsidRPr="005D07AB">
        <w:rPr>
          <w:rFonts w:ascii="TimokU" w:hAnsi="TimokU" w:cs="TimokU"/>
          <w:color w:val="000000"/>
          <w:sz w:val="20"/>
          <w:szCs w:val="20"/>
        </w:rPr>
        <w:t>. Най-ранните сведения датират още от Ведите: в свещените текстове на индусите е отбелязано, че бикар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бонатът е използван от индианците срещу рака преди хиляди години</w:t>
      </w:r>
      <w:r w:rsidRPr="005D07AB">
        <w:rPr>
          <w:rFonts w:ascii="TimokU" w:hAnsi="TimokU" w:cs="TimokU"/>
          <w:color w:val="000000"/>
          <w:sz w:val="11"/>
          <w:szCs w:val="11"/>
        </w:rPr>
        <w:t>97</w:t>
      </w:r>
      <w:r w:rsidRPr="005D07AB">
        <w:rPr>
          <w:rFonts w:ascii="TimokU" w:hAnsi="TimokU" w:cs="TimokU"/>
          <w:color w:val="000000"/>
          <w:sz w:val="20"/>
          <w:szCs w:val="20"/>
        </w:rPr>
        <w:t>.</w:t>
      </w:r>
    </w:p>
    <w:p w:rsidR="00803409" w:rsidRPr="00803409" w:rsidRDefault="005D07AB" w:rsidP="005D07AB">
      <w:pPr>
        <w:rPr>
          <w:lang w:val="en-US"/>
        </w:rPr>
      </w:pPr>
      <w:r w:rsidRPr="005D07AB">
        <w:rPr>
          <w:rFonts w:ascii="TimokU" w:hAnsi="TimokU" w:cs="TimokU"/>
          <w:color w:val="000000"/>
          <w:sz w:val="20"/>
          <w:szCs w:val="20"/>
        </w:rPr>
        <w:t>През 2010 г. проучване на Националния институт по здра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 xml:space="preserve">веопазване, изхождайки от съвсем различно предположение от това за гъбичния произход, стига до заключение, което отчасти се покрива с това на Симонцини: </w:t>
      </w:r>
      <w:r w:rsidRPr="005D07AB">
        <w:rPr>
          <w:rFonts w:ascii="TimokU" w:hAnsi="TimokU" w:cs="TimokU"/>
          <w:i/>
          <w:iCs/>
          <w:color w:val="000000"/>
          <w:sz w:val="20"/>
          <w:szCs w:val="20"/>
        </w:rPr>
        <w:t>„Лекарствата против киселини, инхибиторът на протонната помпа и даже бикарбонатът биха могли да заменят химиотерапията.”</w:t>
      </w:r>
      <w:r w:rsidRPr="005D07AB">
        <w:rPr>
          <w:rFonts w:ascii="TimokU" w:hAnsi="TimokU" w:cs="TimokU"/>
          <w:i/>
          <w:iCs/>
          <w:color w:val="000000"/>
          <w:sz w:val="11"/>
          <w:szCs w:val="11"/>
        </w:rPr>
        <w:t xml:space="preserve">98 </w:t>
      </w:r>
      <w:r w:rsidRPr="005D07AB">
        <w:rPr>
          <w:rFonts w:ascii="TimokU" w:hAnsi="TimokU" w:cs="TimokU"/>
          <w:color w:val="000000"/>
          <w:sz w:val="20"/>
          <w:szCs w:val="20"/>
        </w:rPr>
        <w:t>В действителност туморите създават киселинна среда, за да се изолират и да предпазят от лекарствата, но, от своя страна, трябва да се защитават от киселинността. Ако тези защитни механизми се потиснат чрез антикиселинни</w:t>
      </w:r>
      <w:r w:rsidRPr="005D07AB">
        <w:rPr>
          <w:rFonts w:ascii="TimokU" w:hAnsi="TimokU" w:cs="TimokU"/>
          <w:color w:val="000000"/>
          <w:sz w:val="20"/>
          <w:szCs w:val="20"/>
        </w:rPr>
        <w:softHyphen/>
        <w:t>те терапии, туморната клетка поддава и умира. Независимо</w:t>
      </w:r>
      <w:r w:rsidRPr="005D07AB">
        <w:rPr>
          <w:rStyle w:val="Pa8"/>
        </w:rPr>
        <w:t xml:space="preserve"> </w:t>
      </w:r>
      <w:r>
        <w:rPr>
          <w:rStyle w:val="A4"/>
        </w:rPr>
        <w:t>още същата година в Милано, Болоня и Сиена, не е учудващо, че фармацевтичните компании в момента никак не са заин</w:t>
      </w:r>
      <w:r>
        <w:rPr>
          <w:rStyle w:val="A4"/>
        </w:rPr>
        <w:softHyphen/>
        <w:t xml:space="preserve">тересовани, както докладва Стефано Файс – президент на Международното общество за протонната динамика в рака и член на Международната космическа станция. За </w:t>
      </w:r>
      <w:r>
        <w:rPr>
          <w:rStyle w:val="A4"/>
          <w:i/>
          <w:iCs/>
        </w:rPr>
        <w:t xml:space="preserve">Биг Фарма </w:t>
      </w:r>
      <w:r>
        <w:rPr>
          <w:rStyle w:val="A4"/>
        </w:rPr>
        <w:t>това би означавало годишните разходите за терапиите на пациент от хиляди и хиляди евро да спаднат на 1200 или 600 евро общо.</w:t>
      </w:r>
      <w:bookmarkStart w:id="0" w:name="_GoBack"/>
      <w:bookmarkEnd w:id="0"/>
    </w:p>
    <w:sectPr w:rsidR="00803409" w:rsidRPr="0080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TimokU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87"/>
    <w:rsid w:val="002F71CF"/>
    <w:rsid w:val="00394A19"/>
    <w:rsid w:val="005D07AB"/>
    <w:rsid w:val="00723348"/>
    <w:rsid w:val="00803409"/>
    <w:rsid w:val="009013EB"/>
    <w:rsid w:val="00965BAD"/>
    <w:rsid w:val="00A32887"/>
    <w:rsid w:val="00A708AB"/>
    <w:rsid w:val="00B72D3B"/>
    <w:rsid w:val="00D56A1A"/>
    <w:rsid w:val="00E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33ED-C476-4CFF-8C1F-694547A3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2013-11-04T17:04:00Z</dcterms:created>
  <dcterms:modified xsi:type="dcterms:W3CDTF">2013-11-04T17:04:00Z</dcterms:modified>
</cp:coreProperties>
</file>