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D" w:rsidRDefault="00E3376D" w:rsidP="00663D65">
      <w:pPr>
        <w:pStyle w:val="Pa9"/>
        <w:jc w:val="both"/>
        <w:rPr>
          <w:rFonts w:cs="TimokU"/>
          <w:color w:val="000000"/>
          <w:sz w:val="22"/>
          <w:szCs w:val="22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Защо ХИВ не е причинителят на СПИН</w:t>
      </w:r>
    </w:p>
    <w:p w:rsidR="00E3376D" w:rsidRDefault="00E3376D" w:rsidP="00E3376D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Поради каква причина някои изключително значими вирусо</w:t>
      </w:r>
      <w:r>
        <w:rPr>
          <w:rStyle w:val="A4"/>
        </w:rPr>
        <w:softHyphen/>
        <w:t>лози и химици залагат собственото си доверие и упорито от</w:t>
      </w:r>
      <w:r>
        <w:rPr>
          <w:rStyle w:val="A4"/>
        </w:rPr>
        <w:softHyphen/>
        <w:t>ричат връзката между ХИВ и СПИН? Как могат да бъдат толкова убедени във възраженията си независимо от стано</w:t>
      </w:r>
      <w:r>
        <w:rPr>
          <w:rStyle w:val="A4"/>
        </w:rPr>
        <w:softHyphen/>
        <w:t xml:space="preserve">вището на научната общност? В основата на критиките срещу вируса Гало/Монтание са постулатите на Роберт Кох, или по-точно основните принципи на вирусологията. </w:t>
      </w:r>
    </w:p>
    <w:p w:rsidR="00E3376D" w:rsidRDefault="00E3376D" w:rsidP="00E3376D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Според тези постулати, за да се установи ефективна връзка между вирус и заболяване, трябва да бъдат налице 4 условия</w:t>
      </w:r>
      <w:r>
        <w:rPr>
          <w:rStyle w:val="A7"/>
        </w:rPr>
        <w:t>54</w:t>
      </w:r>
      <w:r>
        <w:rPr>
          <w:rStyle w:val="A4"/>
        </w:rPr>
        <w:t>:</w:t>
      </w:r>
    </w:p>
    <w:p w:rsidR="00E3376D" w:rsidRDefault="00E3376D" w:rsidP="00A708AB">
      <w:pPr>
        <w:pStyle w:val="Pa8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1. Микробът трябва да присъства във всички пациенти, страдащи от болестта;</w:t>
      </w:r>
    </w:p>
    <w:p w:rsidR="00663D65" w:rsidRDefault="00E3376D" w:rsidP="00663D65">
      <w:pPr>
        <w:pStyle w:val="NoSpacing"/>
        <w:rPr>
          <w:rStyle w:val="A4"/>
          <w:lang w:val="en-US"/>
        </w:rPr>
      </w:pPr>
      <w:r>
        <w:rPr>
          <w:rStyle w:val="A4"/>
        </w:rPr>
        <w:t xml:space="preserve">2. Микробът трябва да може да бъде изолиран от </w:t>
      </w:r>
      <w:r>
        <w:rPr>
          <w:rStyle w:val="A4"/>
          <w:i/>
          <w:iCs/>
        </w:rPr>
        <w:t xml:space="preserve">госто-приемника </w:t>
      </w:r>
      <w:r>
        <w:rPr>
          <w:rStyle w:val="A4"/>
        </w:rPr>
        <w:t>си и отглеждан в незаразена среда;</w:t>
      </w:r>
    </w:p>
    <w:p w:rsidR="00E3376D" w:rsidRPr="00E3376D" w:rsidRDefault="00E3376D" w:rsidP="00663D65">
      <w:pPr>
        <w:pStyle w:val="NoSpacing"/>
        <w:rPr>
          <w:lang w:val="en-US"/>
        </w:rPr>
      </w:pPr>
      <w:r w:rsidRPr="00E3376D">
        <w:rPr>
          <w:rFonts w:ascii="TimokU" w:hAnsi="TimokU"/>
        </w:rPr>
        <w:t>3. Микробът трябва да възпроизвежда оригиналната бо</w:t>
      </w:r>
      <w:r w:rsidRPr="00E3376D">
        <w:rPr>
          <w:rFonts w:ascii="TimokU" w:hAnsi="TimokU"/>
        </w:rPr>
        <w:softHyphen/>
        <w:t xml:space="preserve">лест, когато е присаден във възприемчив </w:t>
      </w:r>
      <w:r w:rsidRPr="00E3376D">
        <w:rPr>
          <w:rFonts w:ascii="TimokU" w:hAnsi="TimokU"/>
          <w:i/>
          <w:iCs/>
        </w:rPr>
        <w:t>гостоприемник</w:t>
      </w:r>
      <w:r w:rsidRPr="00E3376D">
        <w:rPr>
          <w:rFonts w:ascii="TimokU" w:hAnsi="TimokU"/>
        </w:rPr>
        <w:t xml:space="preserve">; </w:t>
      </w:r>
    </w:p>
    <w:p w:rsidR="00E3376D" w:rsidRPr="00E3376D" w:rsidRDefault="00E3376D" w:rsidP="00A708AB">
      <w:pPr>
        <w:autoSpaceDE w:val="0"/>
        <w:autoSpaceDN w:val="0"/>
        <w:adjustRightInd w:val="0"/>
        <w:spacing w:after="0" w:line="241" w:lineRule="atLeast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 xml:space="preserve">4. Микробът трябва да може да бъде изолиран отново в инфектирания експериментален </w:t>
      </w:r>
      <w:r w:rsidRPr="00E3376D">
        <w:rPr>
          <w:rFonts w:ascii="TimokU" w:hAnsi="TimokU" w:cs="TimokU"/>
          <w:i/>
          <w:iCs/>
          <w:color w:val="000000"/>
          <w:sz w:val="20"/>
          <w:szCs w:val="20"/>
        </w:rPr>
        <w:t>гостоприемник</w:t>
      </w:r>
      <w:r w:rsidRPr="00E3376D">
        <w:rPr>
          <w:rFonts w:ascii="TimokU" w:hAnsi="TimokU" w:cs="TimokU"/>
          <w:color w:val="000000"/>
          <w:sz w:val="20"/>
          <w:szCs w:val="20"/>
        </w:rPr>
        <w:t xml:space="preserve">. 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>В случая на ХИВ три критерия от четири не са изпълнени. Да проследим в детайли защо.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i/>
          <w:iCs/>
          <w:color w:val="000000"/>
          <w:sz w:val="20"/>
          <w:szCs w:val="20"/>
        </w:rPr>
        <w:t>1) Микробът трябва да присъства във всички пациенти, страдащи от болестта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>Роберт Кох е установил, че причинителят би трябвало да се намира във висока концент</w:t>
      </w:r>
      <w:r w:rsidR="00663D65">
        <w:rPr>
          <w:rFonts w:ascii="TimokU" w:hAnsi="TimokU" w:cs="TimokU"/>
          <w:color w:val="000000"/>
          <w:sz w:val="20"/>
          <w:szCs w:val="20"/>
        </w:rPr>
        <w:t>рация у болния и да се разпрост</w:t>
      </w:r>
      <w:r w:rsidRPr="00E3376D">
        <w:rPr>
          <w:rFonts w:ascii="TimokU" w:hAnsi="TimokU" w:cs="TimokU"/>
          <w:color w:val="000000"/>
          <w:sz w:val="20"/>
          <w:szCs w:val="20"/>
        </w:rPr>
        <w:t>ранява обилно в засегнатите тъкани; в противен случай не би било възможно да се обяснят симптомите. Значи у заразения от СПИН субект трябва да открием висока концентрация на ХИВ в белите кръвни телца на имунната система, по-специ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ално в Т-лимфоцитите, предполагаемата избрана мишена от вируса, пораженията на саркома на Капоши, и в мозъчните неврони, чието увреждане се асоциира с форма на деменция.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>От тази масивна инфекция от ХИВ вирус обаче не се открива никаква следа при пациенти със СПИН. В по-голя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ма част от пациентите не се намират вирусни частици, а при малкото, при които са открити, са в ос</w:t>
      </w:r>
      <w:r w:rsidR="00663D65">
        <w:rPr>
          <w:rFonts w:ascii="TimokU" w:hAnsi="TimokU" w:cs="TimokU"/>
          <w:color w:val="000000"/>
          <w:sz w:val="20"/>
          <w:szCs w:val="20"/>
        </w:rPr>
        <w:t>къдно количес</w:t>
      </w:r>
      <w:r w:rsidRPr="00E3376D">
        <w:rPr>
          <w:rFonts w:ascii="TimokU" w:hAnsi="TimokU" w:cs="TimokU"/>
          <w:color w:val="000000"/>
          <w:sz w:val="20"/>
          <w:szCs w:val="20"/>
        </w:rPr>
        <w:t>тво</w:t>
      </w:r>
      <w:r w:rsidRPr="00E3376D">
        <w:rPr>
          <w:rFonts w:ascii="TimokU" w:hAnsi="TimokU" w:cs="TimokU"/>
          <w:color w:val="000000"/>
          <w:sz w:val="11"/>
          <w:szCs w:val="11"/>
        </w:rPr>
        <w:t>55</w:t>
      </w:r>
      <w:r w:rsidRPr="00E3376D">
        <w:rPr>
          <w:rFonts w:ascii="TimokU" w:hAnsi="TimokU" w:cs="TimokU"/>
          <w:color w:val="000000"/>
          <w:sz w:val="20"/>
          <w:szCs w:val="20"/>
        </w:rPr>
        <w:t>. Проучване от 1993 г. показва, че всеки двама болни от СПИН, които са съдържали около сто хиляди вирусни частици на милиметър кръв, е имало десетки болни, които не са имали нито една вирусна частица или в изключително малко количество</w:t>
      </w:r>
      <w:r w:rsidRPr="00E3376D">
        <w:rPr>
          <w:rFonts w:ascii="TimokU" w:hAnsi="TimokU" w:cs="TimokU"/>
          <w:color w:val="000000"/>
          <w:sz w:val="11"/>
          <w:szCs w:val="11"/>
        </w:rPr>
        <w:t>56</w:t>
      </w:r>
      <w:r w:rsidRPr="00E3376D">
        <w:rPr>
          <w:rFonts w:ascii="TimokU" w:hAnsi="TimokU" w:cs="TimokU"/>
          <w:color w:val="000000"/>
          <w:sz w:val="20"/>
          <w:szCs w:val="20"/>
        </w:rPr>
        <w:t>. Освен това, във всички заразени с ХИВ само незначително количество от вирусните частици дости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га Т-лимфоцитите (около 1 на 500)</w:t>
      </w:r>
      <w:r w:rsidRPr="00E3376D">
        <w:rPr>
          <w:rFonts w:ascii="TimokU" w:hAnsi="TimokU" w:cs="TimokU"/>
          <w:color w:val="000000"/>
          <w:sz w:val="11"/>
          <w:szCs w:val="11"/>
        </w:rPr>
        <w:t xml:space="preserve">57 </w:t>
      </w:r>
      <w:r w:rsidRPr="00E3376D">
        <w:rPr>
          <w:rFonts w:ascii="TimokU" w:hAnsi="TimokU" w:cs="TimokU"/>
          <w:color w:val="000000"/>
          <w:sz w:val="20"/>
          <w:szCs w:val="20"/>
        </w:rPr>
        <w:t>въпреки изобилието на неинфектираните Т-лимфоцити – само по себе си е сериозно противоречие с теорията на Гало.</w:t>
      </w:r>
    </w:p>
    <w:p w:rsidR="00E3376D" w:rsidRPr="00E3376D" w:rsidRDefault="00E3376D" w:rsidP="00663D65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 w:rsidRPr="00E3376D">
        <w:rPr>
          <w:rFonts w:cs="TimokU"/>
          <w:color w:val="000000"/>
          <w:sz w:val="20"/>
          <w:szCs w:val="20"/>
        </w:rPr>
        <w:t>Микробите могат да причинят сериозно заболяване само когато са в състояние да заразят клетките много по-бързо, отколкото организмът успява да ги замести. При пациенти, страдащи от СПИН, Т-лимфоцитите продължават да се въз</w:t>
      </w:r>
      <w:r w:rsidRPr="00E3376D">
        <w:rPr>
          <w:rFonts w:cs="TimokU"/>
          <w:color w:val="000000"/>
          <w:sz w:val="20"/>
          <w:szCs w:val="20"/>
        </w:rPr>
        <w:softHyphen/>
        <w:t>произвеждат със значително по-бърз ритъм от размножение</w:t>
      </w:r>
      <w:r w:rsidRPr="00E3376D">
        <w:rPr>
          <w:rFonts w:cs="TimokU"/>
          <w:color w:val="000000"/>
          <w:sz w:val="20"/>
          <w:szCs w:val="20"/>
        </w:rPr>
        <w:softHyphen/>
        <w:t>то на ХИВ. И при серопозитивните, и при болните имунната система произвежда специфични антитела, които правят ви</w:t>
      </w:r>
      <w:r w:rsidRPr="00E3376D">
        <w:rPr>
          <w:rFonts w:cs="TimokU"/>
          <w:color w:val="000000"/>
          <w:sz w:val="20"/>
          <w:szCs w:val="20"/>
        </w:rPr>
        <w:softHyphen/>
        <w:t xml:space="preserve">руса неактивен (изпращат го в </w:t>
      </w:r>
      <w:r w:rsidRPr="00E3376D">
        <w:rPr>
          <w:rFonts w:cs="TimokU"/>
          <w:i/>
          <w:iCs/>
          <w:color w:val="000000"/>
          <w:sz w:val="20"/>
          <w:szCs w:val="20"/>
        </w:rPr>
        <w:t>летаргия</w:t>
      </w:r>
      <w:r w:rsidRPr="00E3376D">
        <w:rPr>
          <w:rFonts w:cs="TimokU"/>
          <w:color w:val="000000"/>
          <w:sz w:val="20"/>
          <w:szCs w:val="20"/>
        </w:rPr>
        <w:t>) малко след влизане</w:t>
      </w:r>
      <w:r w:rsidRPr="00E3376D">
        <w:rPr>
          <w:rFonts w:cs="TimokU"/>
          <w:color w:val="000000"/>
          <w:sz w:val="20"/>
          <w:szCs w:val="20"/>
        </w:rPr>
        <w:softHyphen/>
        <w:t>то му в организма</w:t>
      </w:r>
      <w:r w:rsidRPr="00E3376D">
        <w:rPr>
          <w:rFonts w:cs="TimokU"/>
          <w:color w:val="000000"/>
          <w:sz w:val="11"/>
          <w:szCs w:val="11"/>
        </w:rPr>
        <w:t xml:space="preserve">58 </w:t>
      </w:r>
      <w:r w:rsidRPr="00E3376D">
        <w:rPr>
          <w:rFonts w:cs="TimokU"/>
          <w:color w:val="000000"/>
          <w:sz w:val="20"/>
          <w:szCs w:val="20"/>
        </w:rPr>
        <w:t>. ХИВ, както и други ретровируси, може да постигне висок вирусен заряд веднага – в началния момент на заразяването на организма (сто хиляди частици на милили</w:t>
      </w:r>
      <w:r w:rsidRPr="00E3376D">
        <w:rPr>
          <w:rFonts w:cs="TimokU"/>
          <w:color w:val="000000"/>
          <w:sz w:val="20"/>
          <w:szCs w:val="20"/>
        </w:rPr>
        <w:softHyphen/>
        <w:t>тър кръв), което най-много може да се прояви със симптоми на лека настинка; впоследствие, в огромна част от случаите, имунната система го прави негоден за постоянно</w:t>
      </w:r>
      <w:r w:rsidRPr="00E3376D">
        <w:rPr>
          <w:rFonts w:cs="TimokU"/>
          <w:color w:val="000000"/>
          <w:sz w:val="11"/>
          <w:szCs w:val="11"/>
        </w:rPr>
        <w:t>59</w:t>
      </w:r>
      <w:r w:rsidRPr="00E3376D">
        <w:rPr>
          <w:rFonts w:cs="TimokU"/>
          <w:color w:val="000000"/>
          <w:sz w:val="20"/>
          <w:szCs w:val="20"/>
        </w:rPr>
        <w:t>.</w:t>
      </w:r>
      <w:r w:rsidR="00663D65">
        <w:rPr>
          <w:rFonts w:cs="TimokU"/>
          <w:color w:val="000000"/>
          <w:sz w:val="20"/>
          <w:szCs w:val="20"/>
          <w:lang w:val="en-US"/>
        </w:rPr>
        <w:t xml:space="preserve"> </w:t>
      </w:r>
      <w:r w:rsidRPr="00E3376D">
        <w:rPr>
          <w:rFonts w:cs="TimokU"/>
          <w:color w:val="000000"/>
          <w:sz w:val="20"/>
          <w:szCs w:val="20"/>
        </w:rPr>
        <w:t>Независимо от това, тестът за ХИВ е замислен от Гало точно за да определи присъствието на антителата на вируса като доказателство за болестта, докато междувременно те парадоксално показват деактивирането на вируса. С други думи, когато тестът изолира антителата на ХИВ, пациен</w:t>
      </w:r>
      <w:r w:rsidRPr="00E3376D">
        <w:rPr>
          <w:rFonts w:cs="TimokU"/>
          <w:color w:val="000000"/>
          <w:sz w:val="20"/>
          <w:szCs w:val="20"/>
        </w:rPr>
        <w:softHyphen/>
        <w:t xml:space="preserve">тът се обявява за серопозитивен или </w:t>
      </w:r>
      <w:r w:rsidRPr="00E3376D">
        <w:rPr>
          <w:rFonts w:cs="TimokU"/>
          <w:i/>
          <w:iCs/>
          <w:color w:val="000000"/>
          <w:sz w:val="20"/>
          <w:szCs w:val="20"/>
        </w:rPr>
        <w:t>болен</w:t>
      </w:r>
      <w:r w:rsidRPr="00E3376D">
        <w:rPr>
          <w:rFonts w:cs="TimokU"/>
          <w:color w:val="000000"/>
          <w:sz w:val="20"/>
          <w:szCs w:val="20"/>
        </w:rPr>
        <w:t xml:space="preserve">, дори вървейки срещу логиката на принципите на ваксините. 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>В крайна сметка става ясно, че не всички пациенти, болни от СПИН, имат и ХИВ вирус, както е документирала науч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ната литература още през 1993 г. – 4621 случая на пациенти със СПИН, които в същото време са с установена серопози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тивност</w:t>
      </w:r>
      <w:r w:rsidRPr="00E3376D">
        <w:rPr>
          <w:rFonts w:ascii="TimokU" w:hAnsi="TimokU" w:cs="TimokU"/>
          <w:color w:val="000000"/>
          <w:sz w:val="11"/>
          <w:szCs w:val="11"/>
        </w:rPr>
        <w:t>60</w:t>
      </w:r>
      <w:r w:rsidRPr="00E3376D">
        <w:rPr>
          <w:rFonts w:ascii="TimokU" w:hAnsi="TimokU" w:cs="TimokU"/>
          <w:color w:val="000000"/>
          <w:sz w:val="20"/>
          <w:szCs w:val="20"/>
        </w:rPr>
        <w:t xml:space="preserve">. 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i/>
          <w:iCs/>
          <w:color w:val="000000"/>
          <w:sz w:val="20"/>
          <w:szCs w:val="20"/>
        </w:rPr>
        <w:t>2) Микробът трябва да може да бъде изолиран от своя гос</w:t>
      </w:r>
      <w:r w:rsidRPr="00E3376D">
        <w:rPr>
          <w:rFonts w:ascii="TimokU" w:hAnsi="TimokU" w:cs="TimokU"/>
          <w:i/>
          <w:iCs/>
          <w:color w:val="000000"/>
          <w:sz w:val="20"/>
          <w:szCs w:val="20"/>
        </w:rPr>
        <w:softHyphen/>
        <w:t xml:space="preserve">топриемник и да се развива в незаразена среда 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>Този постулат е формулиран, за да обособи отговорната причина на едно заболяване между многото възможни. По от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ношение на СПИН технически е спазен само в някои случаи. Вирусът ХИВ в действителност се среща много рядко в ак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тивно състояние сред жертвите на СПИН и за да може да се култивира, лекарите са принудени да го изтеглят от кръвта на болни пациенти в инертен стадий, за да го възобновят в лаборатория.</w:t>
      </w:r>
    </w:p>
    <w:p w:rsidR="00E3376D" w:rsidRPr="00E3376D" w:rsidRDefault="00E3376D" w:rsidP="00E3376D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okU" w:hAnsi="TimokU" w:cs="TimokU"/>
          <w:color w:val="000000"/>
          <w:sz w:val="20"/>
          <w:szCs w:val="20"/>
        </w:rPr>
      </w:pPr>
      <w:r w:rsidRPr="00E3376D">
        <w:rPr>
          <w:rFonts w:ascii="TimokU" w:hAnsi="TimokU" w:cs="TimokU"/>
          <w:color w:val="000000"/>
          <w:sz w:val="20"/>
          <w:szCs w:val="20"/>
        </w:rPr>
        <w:t>Някои изследвания, които академичното общество изглеж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да иска да игнорира, показват, че серопозитивните, които са развили антитела във вируса (правейки го инертен), го пре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дават на здрави партньори след около хиляда сексуални акта без предпазни мерки</w:t>
      </w:r>
      <w:r w:rsidRPr="00E3376D">
        <w:rPr>
          <w:rFonts w:ascii="TimokU" w:hAnsi="TimokU" w:cs="TimokU"/>
          <w:color w:val="000000"/>
          <w:sz w:val="11"/>
          <w:szCs w:val="11"/>
        </w:rPr>
        <w:t>61</w:t>
      </w:r>
      <w:r w:rsidRPr="00E3376D">
        <w:rPr>
          <w:rFonts w:ascii="TimokU" w:hAnsi="TimokU" w:cs="TimokU"/>
          <w:color w:val="000000"/>
          <w:sz w:val="20"/>
          <w:szCs w:val="20"/>
        </w:rPr>
        <w:t>. Вероятността вирусът да премине от майката към детето е 25-50%, т. е. твърде възможно е ос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  <w:t>новният път на предаване да е родилният. Вторият фактор на разпространение касае всички по-податливи субекти от риск на инфекция (като активните хомосексуалисти, нарко</w:t>
      </w:r>
      <w:r w:rsidRPr="00E3376D">
        <w:rPr>
          <w:rFonts w:ascii="TimokU" w:hAnsi="TimokU" w:cs="TimokU"/>
          <w:color w:val="000000"/>
          <w:sz w:val="20"/>
          <w:szCs w:val="20"/>
        </w:rPr>
        <w:softHyphen/>
      </w:r>
    </w:p>
    <w:p w:rsidR="00E3376D" w:rsidRPr="00E3376D" w:rsidRDefault="00E3376D" w:rsidP="00E3376D">
      <w:pPr>
        <w:rPr>
          <w:lang w:val="en-US"/>
        </w:rPr>
      </w:pPr>
      <w:bookmarkStart w:id="0" w:name="_GoBack"/>
      <w:bookmarkEnd w:id="0"/>
    </w:p>
    <w:sectPr w:rsidR="00E3376D" w:rsidRPr="00E3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663D65"/>
    <w:rsid w:val="00A32887"/>
    <w:rsid w:val="00A708AB"/>
    <w:rsid w:val="00B72D3B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3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3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3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3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1B74-28E0-4E04-847E-399AF491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3</cp:revision>
  <dcterms:created xsi:type="dcterms:W3CDTF">2013-11-04T16:52:00Z</dcterms:created>
  <dcterms:modified xsi:type="dcterms:W3CDTF">2013-11-04T21:44:00Z</dcterms:modified>
</cp:coreProperties>
</file>